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3393D5" w14:textId="42498E7B" w:rsidR="00607FEC" w:rsidRDefault="00607FEC"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r>
        <w:rPr>
          <w:rFonts w:ascii="inherit" w:eastAsia="Times New Roman" w:hAnsi="inherit" w:cs="Times New Roman"/>
          <w:b/>
          <w:bCs/>
          <w:color w:val="000000"/>
          <w:sz w:val="29"/>
          <w:szCs w:val="29"/>
          <w:bdr w:val="none" w:sz="0" w:space="0" w:color="auto" w:frame="1"/>
        </w:rPr>
        <w:t>R</w:t>
      </w:r>
      <w:r w:rsidRPr="00607FEC">
        <w:rPr>
          <w:rFonts w:ascii="inherit" w:eastAsia="Times New Roman" w:hAnsi="inherit" w:cs="Times New Roman"/>
          <w:b/>
          <w:bCs/>
          <w:color w:val="000000"/>
          <w:sz w:val="29"/>
          <w:szCs w:val="29"/>
          <w:bdr w:val="none" w:sz="0" w:space="0" w:color="auto" w:frame="1"/>
        </w:rPr>
        <w:t xml:space="preserve">esponse to the following question.  Briefly discuss the Tensions Posed by Global Workforce Trends and its interconnectivity to Diversity - specifically within the workplace.  *Do Not* copy and paste/copy content directly from the text.  Please read and provide at least a </w:t>
      </w:r>
      <w:proofErr w:type="gramStart"/>
      <w:r w:rsidRPr="00607FEC">
        <w:rPr>
          <w:rFonts w:ascii="inherit" w:eastAsia="Times New Roman" w:hAnsi="inherit" w:cs="Times New Roman"/>
          <w:b/>
          <w:bCs/>
          <w:color w:val="000000"/>
          <w:sz w:val="29"/>
          <w:szCs w:val="29"/>
          <w:bdr w:val="none" w:sz="0" w:space="0" w:color="auto" w:frame="1"/>
        </w:rPr>
        <w:t>7 sentence</w:t>
      </w:r>
      <w:proofErr w:type="gramEnd"/>
      <w:r w:rsidRPr="00607FEC">
        <w:rPr>
          <w:rFonts w:ascii="inherit" w:eastAsia="Times New Roman" w:hAnsi="inherit" w:cs="Times New Roman"/>
          <w:b/>
          <w:bCs/>
          <w:color w:val="000000"/>
          <w:sz w:val="29"/>
          <w:szCs w:val="29"/>
          <w:bdr w:val="none" w:sz="0" w:space="0" w:color="auto" w:frame="1"/>
        </w:rPr>
        <w:t xml:space="preserve"> paragraph response (in your own words) to respond to the aforementioned question.</w:t>
      </w:r>
    </w:p>
    <w:p w14:paraId="0C166A03" w14:textId="77777777" w:rsidR="00607FEC" w:rsidRDefault="00607FEC"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bookmarkStart w:id="0" w:name="_GoBack"/>
      <w:bookmarkEnd w:id="0"/>
    </w:p>
    <w:p w14:paraId="02C49037" w14:textId="77777777" w:rsidR="00607FEC" w:rsidRDefault="00607FEC"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4922F8A0" w14:textId="52EDAAF6" w:rsidR="00607FEC" w:rsidRPr="00607FEC" w:rsidRDefault="00607FEC" w:rsidP="00607FEC">
      <w:pPr>
        <w:spacing w:after="0" w:line="240" w:lineRule="auto"/>
        <w:ind w:right="45"/>
        <w:outlineLvl w:val="2"/>
        <w:rPr>
          <w:rFonts w:ascii="inherit" w:eastAsia="Times New Roman" w:hAnsi="inherit" w:cs="Times New Roman"/>
          <w:b/>
          <w:bCs/>
          <w:color w:val="111111"/>
          <w:sz w:val="29"/>
          <w:szCs w:val="29"/>
        </w:rPr>
      </w:pPr>
      <w:r w:rsidRPr="00607FEC">
        <w:rPr>
          <w:rFonts w:ascii="inherit" w:eastAsia="Times New Roman" w:hAnsi="inherit" w:cs="Times New Roman"/>
          <w:b/>
          <w:bCs/>
          <w:color w:val="000000"/>
          <w:sz w:val="29"/>
          <w:szCs w:val="29"/>
          <w:bdr w:val="none" w:sz="0" w:space="0" w:color="auto" w:frame="1"/>
        </w:rPr>
        <w:t>Chapter 1: Introduction and Conceptual Framework</w:t>
      </w:r>
      <w:r w:rsidRPr="00607FEC">
        <w:rPr>
          <w:rFonts w:ascii="inherit" w:eastAsia="Times New Roman" w:hAnsi="inherit" w:cs="Times New Roman"/>
          <w:b/>
          <w:bCs/>
          <w:color w:val="111111"/>
          <w:sz w:val="29"/>
          <w:szCs w:val="29"/>
        </w:rPr>
        <w:t xml:space="preserve"> </w:t>
      </w:r>
    </w:p>
    <w:p w14:paraId="5DA8FAE0" w14:textId="77777777" w:rsidR="00607FEC" w:rsidRPr="00607FEC" w:rsidRDefault="00607FEC" w:rsidP="00607FEC">
      <w:pPr>
        <w:spacing w:after="0" w:line="240" w:lineRule="auto"/>
        <w:outlineLvl w:val="0"/>
        <w:rPr>
          <w:rFonts w:ascii="inherit" w:eastAsia="Times New Roman" w:hAnsi="inherit" w:cs="Times New Roman"/>
          <w:b/>
          <w:bCs/>
          <w:color w:val="111111"/>
          <w:kern w:val="36"/>
          <w:sz w:val="36"/>
          <w:szCs w:val="36"/>
        </w:rPr>
      </w:pPr>
      <w:r w:rsidRPr="00607FEC">
        <w:rPr>
          <w:rFonts w:ascii="inherit" w:eastAsia="Times New Roman" w:hAnsi="inherit" w:cs="Times New Roman"/>
          <w:b/>
          <w:bCs/>
          <w:color w:val="111111"/>
          <w:kern w:val="36"/>
          <w:sz w:val="24"/>
          <w:szCs w:val="24"/>
          <w:bdr w:val="none" w:sz="0" w:space="0" w:color="auto" w:frame="1"/>
        </w:rPr>
        <w:t>C</w:t>
      </w:r>
      <w:r w:rsidRPr="00607FEC">
        <w:rPr>
          <w:rFonts w:ascii="Calibri" w:eastAsia="Times New Roman" w:hAnsi="Calibri" w:cs="Calibri"/>
          <w:b/>
          <w:bCs/>
          <w:color w:val="111111"/>
          <w:kern w:val="36"/>
          <w:sz w:val="24"/>
          <w:szCs w:val="24"/>
          <w:bdr w:val="none" w:sz="0" w:space="0" w:color="auto" w:frame="1"/>
        </w:rPr>
        <w:t>hapter Overview</w:t>
      </w:r>
    </w:p>
    <w:p w14:paraId="36AD3AAB" w14:textId="77777777" w:rsidR="00607FEC" w:rsidRPr="00607FEC" w:rsidRDefault="00607FEC" w:rsidP="00607FEC">
      <w:pPr>
        <w:spacing w:after="0" w:line="240" w:lineRule="auto"/>
        <w:rPr>
          <w:rFonts w:ascii="inherit" w:eastAsia="Times New Roman" w:hAnsi="inherit" w:cs="Times New Roman"/>
          <w:color w:val="111111"/>
          <w:sz w:val="24"/>
          <w:szCs w:val="24"/>
        </w:rPr>
      </w:pPr>
      <w:r w:rsidRPr="00607FEC">
        <w:rPr>
          <w:rFonts w:ascii="Calibri" w:eastAsia="Times New Roman" w:hAnsi="Calibri" w:cs="Calibri"/>
          <w:color w:val="111111"/>
          <w:sz w:val="27"/>
          <w:szCs w:val="27"/>
          <w:bdr w:val="none" w:sz="0" w:space="0" w:color="auto" w:frame="1"/>
        </w:rPr>
        <w:t xml:space="preserve">Successful management of an increasingly diverse workforce is among the most important global challenges that corporate leaders, human resource managers, and management consultants face. Today’s global economy moves diversity to the top of the agenda. Global demographic trends such as immigration, worker migration, and gender and ethnic differences, continue to dramatically change the composition of the workforce, and there is a growing demand for equal rights for these and other groups such as older adults, people with disabilities, and gays and lesbians. However, the problems of managing today’s diverse workforce do not stem from the heterogeneity of the workforce itself, but rather from the inability of corporate managers to fully comprehend its dynamics, divest themselves of their personal prejudicial attitudes, and effectively, as well as creatively, unleash the potential embedded in a multicultural workforce. </w:t>
      </w:r>
    </w:p>
    <w:p w14:paraId="2EB07D0D" w14:textId="77777777" w:rsidR="00607FEC" w:rsidRPr="00607FEC" w:rsidRDefault="00607FEC" w:rsidP="00607FEC">
      <w:pPr>
        <w:spacing w:after="0" w:line="240" w:lineRule="auto"/>
        <w:rPr>
          <w:rFonts w:ascii="inherit" w:eastAsia="Times New Roman" w:hAnsi="inherit" w:cs="Times New Roman"/>
          <w:color w:val="111111"/>
          <w:sz w:val="24"/>
          <w:szCs w:val="24"/>
        </w:rPr>
      </w:pPr>
      <w:r w:rsidRPr="00607FEC">
        <w:rPr>
          <w:rFonts w:ascii="Calibri" w:eastAsia="Times New Roman" w:hAnsi="Calibri" w:cs="Calibri"/>
          <w:color w:val="111111"/>
          <w:sz w:val="27"/>
          <w:szCs w:val="27"/>
          <w:bdr w:val="none" w:sz="0" w:space="0" w:color="auto" w:frame="1"/>
        </w:rPr>
        <w:t xml:space="preserve">Most large corporations of today’s global economy are international or multinational. There are also </w:t>
      </w:r>
      <w:r w:rsidRPr="00607FEC">
        <w:rPr>
          <w:rFonts w:ascii="&amp;quot" w:eastAsia="Times New Roman" w:hAnsi="&amp;quot" w:cs="Calibri"/>
          <w:i/>
          <w:iCs/>
          <w:color w:val="111111"/>
          <w:sz w:val="27"/>
          <w:szCs w:val="27"/>
          <w:bdr w:val="none" w:sz="0" w:space="0" w:color="auto" w:frame="1"/>
        </w:rPr>
        <w:t xml:space="preserve">global companies </w:t>
      </w:r>
      <w:r w:rsidRPr="00607FEC">
        <w:rPr>
          <w:rFonts w:ascii="Calibri" w:eastAsia="Times New Roman" w:hAnsi="Calibri" w:cs="Calibri"/>
          <w:color w:val="111111"/>
          <w:sz w:val="27"/>
          <w:szCs w:val="27"/>
          <w:bdr w:val="none" w:sz="0" w:space="0" w:color="auto" w:frame="1"/>
        </w:rPr>
        <w:t xml:space="preserve">that have headquarters in a specific geographic region, but with a team composed of managers across the globe. In addition, businesses that are not international or multinational often rely upon vendors and sell to customers who are located outside their national boundaries. </w:t>
      </w:r>
    </w:p>
    <w:p w14:paraId="43BA27C6" w14:textId="77777777" w:rsidR="00607FEC" w:rsidRPr="00607FEC" w:rsidRDefault="00607FEC" w:rsidP="00607FEC">
      <w:pPr>
        <w:spacing w:after="0" w:line="240" w:lineRule="auto"/>
        <w:rPr>
          <w:rFonts w:ascii="inherit" w:eastAsia="Times New Roman" w:hAnsi="inherit" w:cs="Times New Roman"/>
          <w:color w:val="111111"/>
          <w:sz w:val="24"/>
          <w:szCs w:val="24"/>
        </w:rPr>
      </w:pPr>
      <w:r w:rsidRPr="00607FEC">
        <w:rPr>
          <w:rFonts w:ascii="Calibri" w:eastAsia="Times New Roman" w:hAnsi="Calibri" w:cs="Calibri"/>
          <w:color w:val="111111"/>
          <w:sz w:val="27"/>
          <w:szCs w:val="27"/>
          <w:bdr w:val="none" w:sz="0" w:space="0" w:color="auto" w:frame="1"/>
        </w:rPr>
        <w:t>Given this context, managers of any company—national, international, multinational, or global—need to gain deeper understanding of individuals who live in diverse national and cultural contexts. They also need appropriate training that will give them the ability to work in a global team</w:t>
      </w:r>
    </w:p>
    <w:p w14:paraId="5794BEC7" w14:textId="77777777" w:rsidR="00607FEC" w:rsidRPr="00607FEC" w:rsidRDefault="00607FEC" w:rsidP="00607FEC">
      <w:pPr>
        <w:spacing w:after="0" w:line="240" w:lineRule="auto"/>
        <w:outlineLvl w:val="2"/>
        <w:rPr>
          <w:rFonts w:ascii="inherit" w:eastAsia="Times New Roman" w:hAnsi="inherit" w:cs="Times New Roman"/>
          <w:b/>
          <w:bCs/>
          <w:color w:val="111111"/>
          <w:sz w:val="26"/>
          <w:szCs w:val="26"/>
        </w:rPr>
      </w:pPr>
      <w:r w:rsidRPr="00607FEC">
        <w:rPr>
          <w:rFonts w:ascii="&amp;quot" w:eastAsia="Times New Roman" w:hAnsi="&amp;quot" w:cs="Times New Roman"/>
          <w:b/>
          <w:bCs/>
          <w:color w:val="111111"/>
          <w:sz w:val="26"/>
          <w:szCs w:val="26"/>
          <w:bdr w:val="none" w:sz="0" w:space="0" w:color="auto" w:frame="1"/>
        </w:rPr>
        <w:t>Tensions Posed by Global Workforce Trends</w:t>
      </w:r>
    </w:p>
    <w:p w14:paraId="0067CF0F" w14:textId="77777777" w:rsidR="00607FEC" w:rsidRPr="00607FEC" w:rsidRDefault="00607FEC" w:rsidP="00607FEC">
      <w:pPr>
        <w:spacing w:after="0" w:line="240" w:lineRule="auto"/>
        <w:rPr>
          <w:rFonts w:ascii="inherit" w:eastAsia="Times New Roman" w:hAnsi="inherit" w:cs="Times New Roman"/>
          <w:color w:val="111111"/>
          <w:sz w:val="24"/>
          <w:szCs w:val="24"/>
        </w:rPr>
      </w:pPr>
      <w:r w:rsidRPr="00607FEC">
        <w:rPr>
          <w:rFonts w:ascii="inherit" w:eastAsia="Times New Roman" w:hAnsi="inherit" w:cs="Times New Roman"/>
          <w:color w:val="111111"/>
          <w:sz w:val="24"/>
          <w:szCs w:val="24"/>
          <w:bdr w:val="none" w:sz="0" w:space="0" w:color="auto" w:frame="1"/>
        </w:rPr>
        <w:t xml:space="preserve">Global </w:t>
      </w:r>
      <w:r w:rsidRPr="00607FEC">
        <w:rPr>
          <w:rFonts w:ascii="&amp;quot" w:eastAsia="Times New Roman" w:hAnsi="&amp;quot" w:cs="Times New Roman"/>
          <w:i/>
          <w:iCs/>
          <w:color w:val="111111"/>
          <w:sz w:val="24"/>
          <w:szCs w:val="24"/>
          <w:bdr w:val="none" w:sz="0" w:space="0" w:color="auto" w:frame="1"/>
        </w:rPr>
        <w:t>demographic</w:t>
      </w:r>
      <w:r w:rsidRPr="00607FEC">
        <w:rPr>
          <w:rFonts w:ascii="inherit" w:eastAsia="Times New Roman" w:hAnsi="inherit" w:cs="Times New Roman"/>
          <w:color w:val="111111"/>
          <w:sz w:val="24"/>
          <w:szCs w:val="24"/>
          <w:bdr w:val="none" w:sz="0" w:space="0" w:color="auto" w:frame="1"/>
        </w:rPr>
        <w:t xml:space="preserve"> trends create unprecedented workforce tensions. Developing countries have seen a spurt in the size of young adult populations in recent decades, reflecting the widespread adoption of public health knowledge and practices in the mid-20</w:t>
      </w:r>
      <w:r w:rsidRPr="00607FEC">
        <w:rPr>
          <w:rFonts w:ascii="inherit" w:eastAsia="Times New Roman" w:hAnsi="inherit" w:cs="Times New Roman"/>
          <w:color w:val="111111"/>
          <w:sz w:val="24"/>
          <w:szCs w:val="24"/>
          <w:bdr w:val="none" w:sz="0" w:space="0" w:color="auto" w:frame="1"/>
          <w:vertAlign w:val="superscript"/>
        </w:rPr>
        <w:t>th</w:t>
      </w:r>
      <w:r w:rsidRPr="00607FEC">
        <w:rPr>
          <w:rFonts w:ascii="inherit" w:eastAsia="Times New Roman" w:hAnsi="inherit" w:cs="Times New Roman"/>
          <w:color w:val="111111"/>
          <w:sz w:val="24"/>
          <w:szCs w:val="24"/>
          <w:bdr w:val="none" w:sz="0" w:space="0" w:color="auto" w:frame="1"/>
        </w:rPr>
        <w:t xml:space="preserve"> century, which rapidly reduced mortality, especially for infants and youths. Concurrently, developed countries have experienced lower retiree/employee ratios due to reduced birth rates and increased life expectancy. </w:t>
      </w:r>
      <w:proofErr w:type="gramStart"/>
      <w:r w:rsidRPr="00607FEC">
        <w:rPr>
          <w:rFonts w:ascii="inherit" w:eastAsia="Times New Roman" w:hAnsi="inherit" w:cs="Times New Roman"/>
          <w:color w:val="111111"/>
          <w:sz w:val="24"/>
          <w:szCs w:val="24"/>
          <w:bdr w:val="none" w:sz="0" w:space="0" w:color="auto" w:frame="1"/>
        </w:rPr>
        <w:t>Thus</w:t>
      </w:r>
      <w:proofErr w:type="gramEnd"/>
      <w:r w:rsidRPr="00607FEC">
        <w:rPr>
          <w:rFonts w:ascii="inherit" w:eastAsia="Times New Roman" w:hAnsi="inherit" w:cs="Times New Roman"/>
          <w:color w:val="111111"/>
          <w:sz w:val="24"/>
          <w:szCs w:val="24"/>
          <w:bdr w:val="none" w:sz="0" w:space="0" w:color="auto" w:frame="1"/>
        </w:rPr>
        <w:t xml:space="preserve"> both push and pull factors amplify immigration flows from developing to developed countries. Historically, relatively homogeneous societies have been resistant to immigration, yet current practices induced by workforce decline indicate </w:t>
      </w:r>
      <w:r w:rsidRPr="00607FEC">
        <w:rPr>
          <w:rFonts w:ascii="inherit" w:eastAsia="Times New Roman" w:hAnsi="inherit" w:cs="Times New Roman"/>
          <w:color w:val="111111"/>
          <w:sz w:val="24"/>
          <w:szCs w:val="24"/>
          <w:bdr w:val="none" w:sz="0" w:space="0" w:color="auto" w:frame="1"/>
        </w:rPr>
        <w:lastRenderedPageBreak/>
        <w:t xml:space="preserve">a tacit acceptance of it. Another global trend is women’s rapidly increasing involvement in the workplace. It is increasingly evident in economies where higher education attainments are allied with prior earning prospects in the formal economy. Therefore, a country’s scale of development is a major determinant of women’s presence in the </w:t>
      </w:r>
      <w:proofErr w:type="gramStart"/>
      <w:r w:rsidRPr="00607FEC">
        <w:rPr>
          <w:rFonts w:ascii="inherit" w:eastAsia="Times New Roman" w:hAnsi="inherit" w:cs="Times New Roman"/>
          <w:color w:val="111111"/>
          <w:sz w:val="24"/>
          <w:szCs w:val="24"/>
          <w:bdr w:val="none" w:sz="0" w:space="0" w:color="auto" w:frame="1"/>
        </w:rPr>
        <w:t>work place</w:t>
      </w:r>
      <w:proofErr w:type="gramEnd"/>
      <w:r w:rsidRPr="00607FEC">
        <w:rPr>
          <w:rFonts w:ascii="inherit" w:eastAsia="Times New Roman" w:hAnsi="inherit" w:cs="Times New Roman"/>
          <w:color w:val="111111"/>
          <w:sz w:val="24"/>
          <w:szCs w:val="24"/>
          <w:bdr w:val="none" w:sz="0" w:space="0" w:color="auto" w:frame="1"/>
        </w:rPr>
        <w:t xml:space="preserve">. Additionally, a particularly relevant aspect of current workplace trends is that women increasingly migrate autonomously as workers, and women migrants equal or outnumber men in some parts of the world. These global economic trends generate an increased or decreased demand for workers in different areas at different times, which create tremendous opportunities, as well as hardships, for individuals, families, communities, and work organizations. </w:t>
      </w:r>
    </w:p>
    <w:p w14:paraId="297F221B" w14:textId="77777777" w:rsidR="00607FEC" w:rsidRPr="00607FEC" w:rsidRDefault="00607FEC" w:rsidP="00607FEC">
      <w:pPr>
        <w:spacing w:after="0" w:line="240" w:lineRule="auto"/>
        <w:rPr>
          <w:rFonts w:ascii="inherit" w:eastAsia="Times New Roman" w:hAnsi="inherit" w:cs="Times New Roman"/>
          <w:color w:val="111111"/>
          <w:sz w:val="24"/>
          <w:szCs w:val="24"/>
        </w:rPr>
      </w:pPr>
      <w:r w:rsidRPr="00607FEC">
        <w:rPr>
          <w:rFonts w:ascii="inherit" w:eastAsia="Times New Roman" w:hAnsi="inherit" w:cs="Times New Roman"/>
          <w:color w:val="111111"/>
          <w:sz w:val="24"/>
          <w:szCs w:val="24"/>
          <w:bdr w:val="none" w:sz="0" w:space="0" w:color="auto" w:frame="1"/>
        </w:rPr>
        <w:t xml:space="preserve">Global </w:t>
      </w:r>
      <w:r w:rsidRPr="00607FEC">
        <w:rPr>
          <w:rFonts w:ascii="&amp;quot" w:eastAsia="Times New Roman" w:hAnsi="&amp;quot" w:cs="Times New Roman"/>
          <w:i/>
          <w:iCs/>
          <w:color w:val="111111"/>
          <w:sz w:val="24"/>
          <w:szCs w:val="24"/>
          <w:bdr w:val="none" w:sz="0" w:space="0" w:color="auto" w:frame="1"/>
        </w:rPr>
        <w:t>legislative</w:t>
      </w:r>
      <w:r w:rsidRPr="00607FEC">
        <w:rPr>
          <w:rFonts w:ascii="inherit" w:eastAsia="Times New Roman" w:hAnsi="inherit" w:cs="Times New Roman"/>
          <w:color w:val="111111"/>
          <w:sz w:val="24"/>
          <w:szCs w:val="24"/>
          <w:bdr w:val="none" w:sz="0" w:space="0" w:color="auto" w:frame="1"/>
        </w:rPr>
        <w:t xml:space="preserve"> trends such as banning discrimination against women, immigrants, minorities, and other diverse groups in the labor force require employers to institute policies that ensure fair treatment of all employees. Some countries have introduced affirmative action or positive action public policies that stem from the ideology of compensating population groups that have been discriminated against. Under these policies, employers are required to provide designated groups of applicants, such as racial and ethnic minorities and women, with a competitive advantage by actively recruiting them for open positions. </w:t>
      </w:r>
    </w:p>
    <w:p w14:paraId="0D4C2D5F" w14:textId="77777777" w:rsidR="00607FEC" w:rsidRPr="00607FEC" w:rsidRDefault="00607FEC" w:rsidP="00607FEC">
      <w:pPr>
        <w:spacing w:after="0" w:line="240" w:lineRule="auto"/>
        <w:rPr>
          <w:rFonts w:ascii="inherit" w:eastAsia="Times New Roman" w:hAnsi="inherit" w:cs="Times New Roman"/>
          <w:color w:val="111111"/>
          <w:sz w:val="24"/>
          <w:szCs w:val="24"/>
        </w:rPr>
      </w:pPr>
      <w:r w:rsidRPr="00607FEC">
        <w:rPr>
          <w:rFonts w:ascii="inherit" w:eastAsia="Times New Roman" w:hAnsi="inherit" w:cs="Times New Roman"/>
          <w:color w:val="111111"/>
          <w:sz w:val="24"/>
          <w:szCs w:val="24"/>
          <w:bdr w:val="none" w:sz="0" w:space="0" w:color="auto" w:frame="1"/>
        </w:rPr>
        <w:t xml:space="preserve">As a result of the increasing heterogeneity in the workforce, countries throughout the world are struggling to minimize the threat of a powder keg of hostile intergroup relations that permeate the workplace. The impact of prejudice and discrimination on work organizations can be detrimental to businesses and can even result in violence in the workplace. On the other hand, effective management of workforce diversity can generate tremendous rewards for businesses. </w:t>
      </w:r>
    </w:p>
    <w:p w14:paraId="3E7542EB" w14:textId="77777777" w:rsidR="00607FEC" w:rsidRPr="00607FEC" w:rsidRDefault="00607FEC" w:rsidP="00607FEC">
      <w:pPr>
        <w:spacing w:after="0" w:line="240" w:lineRule="auto"/>
        <w:outlineLvl w:val="2"/>
        <w:rPr>
          <w:rFonts w:ascii="inherit" w:eastAsia="Times New Roman" w:hAnsi="inherit" w:cs="Times New Roman"/>
          <w:b/>
          <w:bCs/>
          <w:color w:val="111111"/>
          <w:sz w:val="26"/>
          <w:szCs w:val="26"/>
        </w:rPr>
      </w:pPr>
      <w:r w:rsidRPr="00607FEC">
        <w:rPr>
          <w:rFonts w:ascii="&amp;quot" w:eastAsia="Times New Roman" w:hAnsi="&amp;quot" w:cs="Times New Roman"/>
          <w:b/>
          <w:bCs/>
          <w:color w:val="111111"/>
          <w:sz w:val="26"/>
          <w:szCs w:val="26"/>
          <w:bdr w:val="none" w:sz="0" w:space="0" w:color="auto" w:frame="1"/>
        </w:rPr>
        <w:t>Diversity and Exclusion: A Critical Workforce Problem</w:t>
      </w:r>
    </w:p>
    <w:p w14:paraId="33950E0F" w14:textId="77777777" w:rsidR="00607FEC" w:rsidRPr="00607FEC" w:rsidRDefault="00607FEC" w:rsidP="00607FEC">
      <w:pPr>
        <w:spacing w:after="0" w:line="240" w:lineRule="auto"/>
        <w:rPr>
          <w:rFonts w:ascii="inherit" w:eastAsia="Times New Roman" w:hAnsi="inherit" w:cs="Times New Roman"/>
          <w:color w:val="111111"/>
          <w:sz w:val="24"/>
          <w:szCs w:val="24"/>
        </w:rPr>
      </w:pPr>
      <w:r w:rsidRPr="00607FEC">
        <w:rPr>
          <w:rFonts w:ascii="inherit" w:eastAsia="Times New Roman" w:hAnsi="inherit" w:cs="Times New Roman"/>
          <w:color w:val="111111"/>
          <w:sz w:val="24"/>
          <w:szCs w:val="24"/>
          <w:bdr w:val="none" w:sz="0" w:space="0" w:color="auto" w:frame="1"/>
        </w:rPr>
        <w:t xml:space="preserve">One of the most significant problems facing today’s diverse workforce is that of </w:t>
      </w:r>
      <w:r w:rsidRPr="00607FEC">
        <w:rPr>
          <w:rFonts w:ascii="&amp;quot" w:eastAsia="Times New Roman" w:hAnsi="&amp;quot" w:cs="Times New Roman"/>
          <w:i/>
          <w:iCs/>
          <w:color w:val="111111"/>
          <w:sz w:val="24"/>
          <w:szCs w:val="24"/>
          <w:bdr w:val="none" w:sz="0" w:space="0" w:color="auto" w:frame="1"/>
        </w:rPr>
        <w:t>exclusion</w:t>
      </w:r>
      <w:r w:rsidRPr="00607FEC">
        <w:rPr>
          <w:rFonts w:ascii="inherit" w:eastAsia="Times New Roman" w:hAnsi="inherit" w:cs="Times New Roman"/>
          <w:color w:val="111111"/>
          <w:sz w:val="24"/>
          <w:szCs w:val="24"/>
          <w:bdr w:val="none" w:sz="0" w:space="0" w:color="auto" w:frame="1"/>
        </w:rPr>
        <w:t>, both its direct practice as a matter of formal or informal policy, and in the perception of employees that they are not regarded as an integral part of the organization. Though diversity groupings vary from one culture or country to the next, the common factor that seems to transcend national boundaries is the experience of social exclusion, particularly in the workplace. Inclusion in organizational information networks and in decision-making processes has been linked to better job opportunities and career advancement in work organizations, as well as to job satisfaction and well-being. Employees’ experience of exclusion, therefore, may play a critical role in explaining the connection between the lack of opportunities for members of diverse groups and their discontent with their roles as employees in organizations. If work organizations do not learn to remove barriers to full participation of racial, ethnic and religious minorities, women, people with disabilities, and members of sexual orientation minorities, social and economic tensions between majority and minority identity groups may only increase in the workplace and will not become an inclusive organization.</w:t>
      </w:r>
    </w:p>
    <w:p w14:paraId="7849235F" w14:textId="77777777" w:rsidR="00607FEC" w:rsidRPr="00607FEC" w:rsidRDefault="00607FEC" w:rsidP="00607FEC">
      <w:pPr>
        <w:spacing w:after="0" w:line="240" w:lineRule="auto"/>
        <w:outlineLvl w:val="2"/>
        <w:rPr>
          <w:rFonts w:ascii="inherit" w:eastAsia="Times New Roman" w:hAnsi="inherit" w:cs="Times New Roman"/>
          <w:b/>
          <w:bCs/>
          <w:color w:val="111111"/>
          <w:sz w:val="26"/>
          <w:szCs w:val="26"/>
        </w:rPr>
      </w:pPr>
      <w:r w:rsidRPr="00607FEC">
        <w:rPr>
          <w:rFonts w:ascii="&amp;quot" w:eastAsia="Times New Roman" w:hAnsi="&amp;quot" w:cs="Times New Roman"/>
          <w:b/>
          <w:bCs/>
          <w:color w:val="111111"/>
          <w:sz w:val="26"/>
          <w:szCs w:val="26"/>
          <w:bdr w:val="none" w:sz="0" w:space="0" w:color="auto" w:frame="1"/>
        </w:rPr>
        <w:t>The Inclusive Workplace Model</w:t>
      </w:r>
    </w:p>
    <w:p w14:paraId="28DEF01F" w14:textId="77777777" w:rsidR="00607FEC" w:rsidRPr="00607FEC" w:rsidRDefault="00607FEC" w:rsidP="00607FEC">
      <w:pPr>
        <w:spacing w:after="0" w:line="240" w:lineRule="auto"/>
        <w:rPr>
          <w:rFonts w:ascii="inherit" w:eastAsia="Times New Roman" w:hAnsi="inherit" w:cs="Times New Roman"/>
          <w:color w:val="111111"/>
          <w:sz w:val="24"/>
          <w:szCs w:val="24"/>
        </w:rPr>
      </w:pPr>
      <w:r w:rsidRPr="00607FEC">
        <w:rPr>
          <w:rFonts w:ascii="inherit" w:eastAsia="Times New Roman" w:hAnsi="inherit" w:cs="Times New Roman"/>
          <w:color w:val="111111"/>
          <w:sz w:val="24"/>
          <w:szCs w:val="24"/>
          <w:bdr w:val="none" w:sz="0" w:space="0" w:color="auto" w:frame="1"/>
        </w:rPr>
        <w:t xml:space="preserve">This book presents a comprehensive model for diversity management utilizing the </w:t>
      </w:r>
      <w:r w:rsidRPr="00607FEC">
        <w:rPr>
          <w:rFonts w:ascii="&amp;quot" w:eastAsia="Times New Roman" w:hAnsi="&amp;quot" w:cs="Times New Roman"/>
          <w:i/>
          <w:iCs/>
          <w:color w:val="111111"/>
          <w:sz w:val="24"/>
          <w:szCs w:val="24"/>
          <w:bdr w:val="none" w:sz="0" w:space="0" w:color="auto" w:frame="1"/>
        </w:rPr>
        <w:t>Inclusive Workplace Model</w:t>
      </w:r>
      <w:r w:rsidRPr="00607FEC">
        <w:rPr>
          <w:rFonts w:ascii="inherit" w:eastAsia="Times New Roman" w:hAnsi="inherit" w:cs="Times New Roman"/>
          <w:color w:val="111111"/>
          <w:sz w:val="24"/>
          <w:szCs w:val="24"/>
          <w:bdr w:val="none" w:sz="0" w:space="0" w:color="auto" w:frame="1"/>
        </w:rPr>
        <w:t xml:space="preserve"> Work organizations need to expand their notion of diversity to include, in addition to the organizations themselves, the larger systems that constitute their environments. The concept of the Inclusive Workplace, presented here and elaborated in </w:t>
      </w:r>
      <w:r w:rsidRPr="00607FEC">
        <w:rPr>
          <w:rFonts w:ascii="inherit" w:eastAsia="Times New Roman" w:hAnsi="inherit" w:cs="Times New Roman"/>
          <w:color w:val="111111"/>
          <w:sz w:val="24"/>
          <w:szCs w:val="24"/>
          <w:bdr w:val="none" w:sz="0" w:space="0" w:color="auto" w:frame="1"/>
        </w:rPr>
        <w:lastRenderedPageBreak/>
        <w:t xml:space="preserve">later chapters, refers to a work organization that accepts and utilizes the diversity of its own workforce (Level I), while also being active in the community (Level II), in state and federal programs that support immigrants, women, the working poor, and other disadvantaged groups (Level III), and collaborating across cultural and national boundaries (Level IV). </w:t>
      </w:r>
    </w:p>
    <w:p w14:paraId="0BAE8B70" w14:textId="77777777" w:rsidR="00607FEC" w:rsidRPr="00607FEC" w:rsidRDefault="00607FEC" w:rsidP="00607FEC">
      <w:pPr>
        <w:spacing w:after="0" w:line="240" w:lineRule="auto"/>
        <w:rPr>
          <w:rFonts w:ascii="inherit" w:eastAsia="Times New Roman" w:hAnsi="inherit" w:cs="Times New Roman"/>
          <w:color w:val="111111"/>
          <w:sz w:val="24"/>
          <w:szCs w:val="24"/>
        </w:rPr>
      </w:pPr>
      <w:r w:rsidRPr="00607FEC">
        <w:rPr>
          <w:rFonts w:ascii="inherit" w:eastAsia="Times New Roman" w:hAnsi="inherit" w:cs="Times New Roman"/>
          <w:color w:val="111111"/>
          <w:sz w:val="24"/>
          <w:szCs w:val="24"/>
          <w:bdr w:val="none" w:sz="0" w:space="0" w:color="auto" w:frame="1"/>
        </w:rPr>
        <w:t xml:space="preserve">There is accumulating research evidence that such corporate practices constitute good business. These benefits include: (a) cost savings due to lower turnover of employees, less absenteeism, and improved productivity; (b) winning the competition for talent by being more attractive to women and members of minority groups; (c) driving business growth by leveraging the many facets of diversity, such as marketing more effectively to minority communities or to senior citizens; (d) improved corporate image with a positive impact on the company’s stock standing; and, (e) reaping the benefits of an increasingly global marketplace by employing workers from different nationalities both in and outside their native countries. </w:t>
      </w:r>
    </w:p>
    <w:p w14:paraId="422807AD" w14:textId="77777777" w:rsidR="00607FEC" w:rsidRPr="00607FEC" w:rsidRDefault="00607FEC" w:rsidP="00607FEC">
      <w:pPr>
        <w:spacing w:after="0" w:line="240" w:lineRule="auto"/>
        <w:outlineLvl w:val="2"/>
        <w:rPr>
          <w:rFonts w:ascii="inherit" w:eastAsia="Times New Roman" w:hAnsi="inherit" w:cs="Times New Roman"/>
          <w:b/>
          <w:bCs/>
          <w:color w:val="111111"/>
          <w:sz w:val="26"/>
          <w:szCs w:val="26"/>
        </w:rPr>
      </w:pPr>
      <w:r w:rsidRPr="00607FEC">
        <w:rPr>
          <w:rFonts w:ascii="&amp;quot" w:eastAsia="Times New Roman" w:hAnsi="&amp;quot" w:cs="Times New Roman"/>
          <w:b/>
          <w:bCs/>
          <w:color w:val="111111"/>
          <w:sz w:val="26"/>
          <w:szCs w:val="26"/>
          <w:bdr w:val="none" w:sz="0" w:space="0" w:color="auto" w:frame="1"/>
        </w:rPr>
        <w:t>Conceptual Framework and Organization of the Book</w:t>
      </w:r>
    </w:p>
    <w:p w14:paraId="14BB5656" w14:textId="77777777" w:rsidR="00607FEC" w:rsidRPr="00607FEC" w:rsidRDefault="00607FEC" w:rsidP="00607FEC">
      <w:pPr>
        <w:spacing w:after="0" w:line="240" w:lineRule="auto"/>
        <w:rPr>
          <w:rFonts w:ascii="inherit" w:eastAsia="Times New Roman" w:hAnsi="inherit" w:cs="Times New Roman"/>
          <w:color w:val="111111"/>
          <w:sz w:val="24"/>
          <w:szCs w:val="24"/>
        </w:rPr>
      </w:pPr>
      <w:r w:rsidRPr="00607FEC">
        <w:rPr>
          <w:rFonts w:ascii="inherit" w:eastAsia="Times New Roman" w:hAnsi="inherit" w:cs="Times New Roman"/>
          <w:color w:val="111111"/>
          <w:sz w:val="24"/>
          <w:szCs w:val="24"/>
          <w:bdr w:val="none" w:sz="0" w:space="0" w:color="auto" w:frame="1"/>
        </w:rPr>
        <w:t>The book is divided to three parts. Part I presents the macro, or large-systems perspective on diversity: global demographic trends as well as legislation and public policies in different countries. Part II presents the micro/mezzo or smaller systems perspective on diversity: how diversity is defined in different countries, theories explaining diversity, and interpersonal and cultural aspects and communication in the workplace. Finally, Part III presents solutions or practical intervention approaches: diversity paradigms, the inclusive workplace model, and case studies demonstrating how corporations in different parts of the world can apply the model. See Figure 1.1.</w:t>
      </w:r>
    </w:p>
    <w:p w14:paraId="71EBD697" w14:textId="77777777" w:rsidR="00607FEC" w:rsidRPr="00607FEC" w:rsidRDefault="00607FEC" w:rsidP="00607FEC">
      <w:pPr>
        <w:spacing w:after="0" w:line="240" w:lineRule="auto"/>
        <w:outlineLvl w:val="2"/>
        <w:rPr>
          <w:rFonts w:ascii="inherit" w:eastAsia="Times New Roman" w:hAnsi="inherit" w:cs="Times New Roman"/>
          <w:b/>
          <w:bCs/>
          <w:color w:val="111111"/>
          <w:sz w:val="26"/>
          <w:szCs w:val="26"/>
        </w:rPr>
      </w:pPr>
      <w:r w:rsidRPr="00607FEC">
        <w:rPr>
          <w:rFonts w:ascii="&amp;quot" w:eastAsia="Times New Roman" w:hAnsi="&amp;quot" w:cs="Times New Roman"/>
          <w:b/>
          <w:bCs/>
          <w:color w:val="111111"/>
          <w:sz w:val="26"/>
          <w:szCs w:val="26"/>
          <w:bdr w:val="none" w:sz="0" w:space="0" w:color="auto" w:frame="1"/>
        </w:rPr>
        <w:t xml:space="preserve">Summary </w:t>
      </w:r>
    </w:p>
    <w:p w14:paraId="7F944547" w14:textId="77777777" w:rsidR="00607FEC" w:rsidRPr="00607FEC" w:rsidRDefault="00607FEC" w:rsidP="00607FEC">
      <w:pPr>
        <w:spacing w:after="0" w:line="240" w:lineRule="auto"/>
        <w:rPr>
          <w:rFonts w:ascii="inherit" w:eastAsia="Times New Roman" w:hAnsi="inherit" w:cs="Times New Roman"/>
          <w:color w:val="111111"/>
          <w:sz w:val="24"/>
          <w:szCs w:val="24"/>
        </w:rPr>
      </w:pPr>
      <w:r w:rsidRPr="00607FEC">
        <w:rPr>
          <w:rFonts w:ascii="inherit" w:eastAsia="Times New Roman" w:hAnsi="inherit" w:cs="Times New Roman"/>
          <w:color w:val="111111"/>
          <w:sz w:val="24"/>
          <w:szCs w:val="24"/>
          <w:bdr w:val="none" w:sz="0" w:space="0" w:color="auto" w:frame="1"/>
        </w:rPr>
        <w:t xml:space="preserve">The focus on diversity in global business today is quite different from civil rights legislation and from affirmative action policy initiatives. Diversity efforts are focused on managing and engaging the company’s heterogeneous workforce in ways that give it a competitive advantage. It is important to state that the advantages of having diversity programs without the foundation of strong legislation and sound proactive public policy may be fleeting. </w:t>
      </w:r>
    </w:p>
    <w:p w14:paraId="7632C0AE" w14:textId="77777777" w:rsidR="00607FEC" w:rsidRPr="00607FEC" w:rsidRDefault="00607FEC" w:rsidP="00607FEC">
      <w:pPr>
        <w:spacing w:after="0" w:line="240" w:lineRule="auto"/>
        <w:rPr>
          <w:rFonts w:ascii="inherit" w:eastAsia="Times New Roman" w:hAnsi="inherit" w:cs="Times New Roman"/>
          <w:color w:val="111111"/>
          <w:sz w:val="24"/>
          <w:szCs w:val="24"/>
        </w:rPr>
      </w:pPr>
      <w:r w:rsidRPr="00607FEC">
        <w:rPr>
          <w:rFonts w:ascii="inherit" w:eastAsia="Times New Roman" w:hAnsi="inherit" w:cs="Times New Roman"/>
          <w:color w:val="111111"/>
          <w:sz w:val="24"/>
          <w:szCs w:val="24"/>
          <w:bdr w:val="none" w:sz="0" w:space="0" w:color="auto" w:frame="1"/>
        </w:rPr>
        <w:t>Given the growing acceptance of (though not necessarily adherence to) human rights as a value around the globe, promoting fairness and economic advancement for disenfranchised members of society is generally perceived as the right and ethical thing to do. Effective diversity management and inclusive practices also constitutes good business by giving corporations a competitive advantage in recruitment, in customer relations, in marketing to the growing minority communities with purchasing power, and in developing a positive corporate image that translates into corporate profits.</w:t>
      </w:r>
    </w:p>
    <w:p w14:paraId="1416D836" w14:textId="77777777" w:rsidR="00607FEC" w:rsidRPr="00607FEC" w:rsidRDefault="00607FEC" w:rsidP="00607FEC">
      <w:pPr>
        <w:spacing w:after="0" w:line="240" w:lineRule="auto"/>
        <w:rPr>
          <w:rFonts w:ascii="inherit" w:eastAsia="Times New Roman" w:hAnsi="inherit" w:cs="Times New Roman"/>
          <w:color w:val="111111"/>
          <w:sz w:val="24"/>
          <w:szCs w:val="24"/>
        </w:rPr>
      </w:pPr>
      <w:r w:rsidRPr="00607FEC">
        <w:rPr>
          <w:rFonts w:ascii="inherit" w:eastAsia="Times New Roman" w:hAnsi="inherit" w:cs="Times New Roman"/>
          <w:color w:val="111111"/>
          <w:sz w:val="24"/>
          <w:szCs w:val="24"/>
          <w:bdr w:val="none" w:sz="0" w:space="0" w:color="auto" w:frame="1"/>
        </w:rPr>
        <w:t>The premise of this book is that work organizations need to create and sustain a culture that is accepting of individual differences, and one that encourages greater involvement in community, as well as national and international affairs.</w:t>
      </w:r>
    </w:p>
    <w:p w14:paraId="10CE86D5" w14:textId="4B7152FA" w:rsidR="007056E1" w:rsidRDefault="00607FEC"/>
    <w:p w14:paraId="558925F9" w14:textId="0982A38B" w:rsidR="00607FEC" w:rsidRDefault="00607FEC"/>
    <w:p w14:paraId="73C8B60D" w14:textId="75FD1784" w:rsidR="00607FEC" w:rsidRDefault="00607FEC"/>
    <w:p w14:paraId="097C1A78" w14:textId="77777777" w:rsidR="00607FEC" w:rsidRDefault="00607FEC"/>
    <w:sectPr w:rsidR="00607F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FEC"/>
    <w:rsid w:val="00043971"/>
    <w:rsid w:val="005A33F1"/>
    <w:rsid w:val="00607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9A81"/>
  <w15:chartTrackingRefBased/>
  <w15:docId w15:val="{684B5D33-D8DE-43CD-A624-7957A921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790368">
      <w:bodyDiv w:val="1"/>
      <w:marLeft w:val="0"/>
      <w:marRight w:val="0"/>
      <w:marTop w:val="0"/>
      <w:marBottom w:val="0"/>
      <w:divBdr>
        <w:top w:val="none" w:sz="0" w:space="0" w:color="auto"/>
        <w:left w:val="none" w:sz="0" w:space="0" w:color="auto"/>
        <w:bottom w:val="none" w:sz="0" w:space="0" w:color="auto"/>
        <w:right w:val="none" w:sz="0" w:space="0" w:color="auto"/>
      </w:divBdr>
      <w:divsChild>
        <w:div w:id="11968861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1420</Words>
  <Characters>8098</Characters>
  <Application>Microsoft Office Word</Application>
  <DocSecurity>0</DocSecurity>
  <Lines>67</Lines>
  <Paragraphs>18</Paragraphs>
  <ScaleCrop>false</ScaleCrop>
  <Company/>
  <LinksUpToDate>false</LinksUpToDate>
  <CharactersWithSpaces>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1</cp:revision>
  <dcterms:created xsi:type="dcterms:W3CDTF">2020-04-06T15:45:00Z</dcterms:created>
  <dcterms:modified xsi:type="dcterms:W3CDTF">2020-04-06T15:47:00Z</dcterms:modified>
</cp:coreProperties>
</file>